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4F" w:rsidRDefault="0077274F" w:rsidP="0077274F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 34 Storia delle idee 6</w:t>
      </w:r>
    </w:p>
    <w:p w:rsidR="0077274F" w:rsidRDefault="0077274F" w:rsidP="0077274F">
      <w:pPr>
        <w:jc w:val="center"/>
        <w:rPr>
          <w:rFonts w:ascii="Times New Roman" w:hAnsi="Times New Roman"/>
          <w:sz w:val="26"/>
          <w:szCs w:val="26"/>
        </w:rPr>
      </w:pPr>
    </w:p>
    <w:p w:rsidR="0077274F" w:rsidRDefault="0077274F" w:rsidP="0077274F">
      <w:pPr>
        <w:jc w:val="center"/>
        <w:rPr>
          <w:rFonts w:ascii="Times New Roman" w:hAnsi="Times New Roman"/>
          <w:sz w:val="26"/>
          <w:szCs w:val="26"/>
        </w:rPr>
      </w:pPr>
    </w:p>
    <w:p w:rsidR="0077274F" w:rsidRDefault="0077274F" w:rsidP="0077274F">
      <w:pPr>
        <w:jc w:val="center"/>
        <w:rPr>
          <w:rFonts w:ascii="Times New Roman" w:hAnsi="Times New Roman"/>
          <w:sz w:val="26"/>
          <w:szCs w:val="26"/>
        </w:rPr>
      </w:pPr>
    </w:p>
    <w:p w:rsidR="0077274F" w:rsidRDefault="0077274F" w:rsidP="0077274F">
      <w:pPr>
        <w:jc w:val="center"/>
        <w:rPr>
          <w:rFonts w:ascii="Times New Roman" w:hAnsi="Times New Roman"/>
          <w:sz w:val="26"/>
          <w:szCs w:val="26"/>
        </w:rPr>
      </w:pPr>
    </w:p>
    <w:p w:rsidR="0077274F" w:rsidRDefault="0077274F" w:rsidP="0077274F">
      <w:pPr>
        <w:jc w:val="center"/>
        <w:rPr>
          <w:rFonts w:ascii="Times New Roman" w:hAnsi="Times New Roman"/>
          <w:sz w:val="26"/>
          <w:szCs w:val="26"/>
        </w:rPr>
      </w:pPr>
    </w:p>
    <w:p w:rsidR="003A05ED" w:rsidRDefault="003A05ED" w:rsidP="0077274F">
      <w:pPr>
        <w:jc w:val="center"/>
        <w:rPr>
          <w:rFonts w:ascii="Times New Roman" w:hAnsi="Times New Roman"/>
          <w:sz w:val="26"/>
          <w:szCs w:val="26"/>
        </w:rPr>
      </w:pPr>
    </w:p>
    <w:p w:rsidR="0077274F" w:rsidRPr="0077274F" w:rsidRDefault="0077274F" w:rsidP="0077274F">
      <w:pPr>
        <w:rPr>
          <w:rFonts w:ascii="Times New Roman" w:hAnsi="Times New Roman"/>
          <w:b/>
          <w:sz w:val="26"/>
          <w:szCs w:val="26"/>
        </w:rPr>
      </w:pPr>
      <w:r w:rsidRPr="0077274F">
        <w:rPr>
          <w:rFonts w:ascii="Times New Roman" w:hAnsi="Times New Roman"/>
          <w:b/>
          <w:sz w:val="26"/>
          <w:szCs w:val="26"/>
        </w:rPr>
        <w:t>Le idee nichiliste</w:t>
      </w:r>
    </w:p>
    <w:p w:rsidR="0077274F" w:rsidRDefault="0077274F" w:rsidP="0077274F">
      <w:pPr>
        <w:jc w:val="both"/>
        <w:rPr>
          <w:rFonts w:ascii="Times New Roman" w:hAnsi="Times New Roman" w:cs="Times New Roman"/>
        </w:rPr>
      </w:pPr>
    </w:p>
    <w:p w:rsidR="0077274F" w:rsidRPr="0077274F" w:rsidRDefault="0077274F" w:rsidP="0077274F">
      <w:pPr>
        <w:ind w:firstLine="708"/>
        <w:jc w:val="both"/>
        <w:rPr>
          <w:rFonts w:ascii="Times New Roman" w:hAnsi="Times New Roman" w:cs="Times New Roman"/>
        </w:rPr>
      </w:pPr>
      <w:r w:rsidRPr="0077274F">
        <w:rPr>
          <w:rFonts w:ascii="Times New Roman" w:hAnsi="Times New Roman" w:cs="Times New Roman"/>
        </w:rPr>
        <w:t>Le idee atee e nichiliste che abbiamo cercato di illustrare nell’articolo dello scorso mese, nascono e si diffondono a partire dalla seconda metà del XIX secolo. Sono anni in cui si assiste ad un grande sviluppo della scienza e della tecnica: le numerose scoperte scientifiche e il grande progresso della tecnica alimentano l’illusione che la ragione umana sia capace di risolvere tutti i problemi. Da una parte quindi, si nega l’esistenza di Dio e vengono accantonati i principi e i valori cui si era sempre fatto riferimento, e dall’altra si esalta la presunta onnipotenza delle capacità dell’uomo.</w:t>
      </w:r>
    </w:p>
    <w:p w:rsidR="0077274F" w:rsidRDefault="0077274F" w:rsidP="0077274F">
      <w:pPr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 w:rsidRPr="0077274F">
        <w:rPr>
          <w:rFonts w:ascii="Times New Roman" w:hAnsi="Times New Roman" w:cs="Times New Roman"/>
          <w:b/>
          <w:bCs/>
          <w:color w:val="000000"/>
        </w:rPr>
        <w:t>L'attenzione dei filosofi è dunque concentrata solo sul mondo materiale, concreto, e sulla conoscenza scientifica, ritenuta in grado di risolvere tutti  i problemi e di spiegare tutto.</w:t>
      </w:r>
    </w:p>
    <w:p w:rsidR="0077274F" w:rsidRDefault="0077274F" w:rsidP="0077274F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77274F">
        <w:rPr>
          <w:rFonts w:ascii="Times New Roman" w:hAnsi="Times New Roman" w:cs="Times New Roman"/>
          <w:color w:val="000000"/>
        </w:rPr>
        <w:t>E' questa l'idea base del cosiddetto</w:t>
      </w:r>
      <w:r w:rsidRPr="0077274F">
        <w:rPr>
          <w:rFonts w:ascii="Times New Roman" w:hAnsi="Times New Roman" w:cs="Times New Roman"/>
          <w:b/>
          <w:bCs/>
          <w:color w:val="000000"/>
        </w:rPr>
        <w:t xml:space="preserve"> positivismo</w:t>
      </w:r>
      <w:r w:rsidRPr="0077274F">
        <w:rPr>
          <w:rFonts w:ascii="Times New Roman" w:hAnsi="Times New Roman" w:cs="Times New Roman"/>
          <w:color w:val="000000"/>
        </w:rPr>
        <w:t xml:space="preserve">: se la ragione e la scienza  sono in grado di spiegare tutto, l'uomo non ha più bisogno di ricorrere agli dei (alla religione) per spiegare sé stesso e tutti i fenomeni naturali: Dio non esiste e anzi tutti i problemi che riguardano Dio, l'anima ecc. sono privi di significato.  Questi sono anche  gli anni in cui si affermano le </w:t>
      </w:r>
      <w:r w:rsidRPr="0077274F">
        <w:rPr>
          <w:rFonts w:ascii="Times New Roman" w:hAnsi="Times New Roman" w:cs="Times New Roman"/>
          <w:b/>
          <w:bCs/>
          <w:color w:val="000000"/>
        </w:rPr>
        <w:t>teorie evoluzionistiche di</w:t>
      </w:r>
      <w:r w:rsidRPr="0077274F">
        <w:rPr>
          <w:rFonts w:ascii="Times New Roman" w:hAnsi="Times New Roman" w:cs="Times New Roman"/>
          <w:color w:val="000000"/>
        </w:rPr>
        <w:t xml:space="preserve"> </w:t>
      </w:r>
      <w:r w:rsidRPr="0077274F">
        <w:rPr>
          <w:rFonts w:ascii="Times New Roman" w:hAnsi="Times New Roman" w:cs="Times New Roman"/>
          <w:b/>
          <w:bCs/>
          <w:color w:val="000000"/>
        </w:rPr>
        <w:t>Darwin,</w:t>
      </w:r>
      <w:r w:rsidRPr="0077274F">
        <w:rPr>
          <w:rFonts w:ascii="Times New Roman" w:hAnsi="Times New Roman" w:cs="Times New Roman"/>
          <w:color w:val="000000"/>
        </w:rPr>
        <w:t xml:space="preserve"> idee che contribuiscono a negare  l'esistenza di un Dio creatore dell'uomo e dell'universo intero.</w:t>
      </w:r>
    </w:p>
    <w:p w:rsidR="0077274F" w:rsidRPr="0077274F" w:rsidRDefault="0077274F" w:rsidP="0077274F">
      <w:pPr>
        <w:ind w:firstLine="708"/>
        <w:jc w:val="both"/>
        <w:rPr>
          <w:rFonts w:ascii="Times New Roman" w:hAnsi="Times New Roman" w:cs="Times New Roman"/>
        </w:rPr>
      </w:pPr>
      <w:r w:rsidRPr="0077274F">
        <w:rPr>
          <w:rFonts w:ascii="Times New Roman" w:hAnsi="Times New Roman" w:cs="Times New Roman"/>
          <w:color w:val="000000"/>
        </w:rPr>
        <w:t xml:space="preserve">Inoltre, alcuni pensatori, soprattutto americani, concentrano la loro analisi solo sul rapporto tra le teorie scientifiche e la loro influenza sulla vita concreta degli uomini: sostengono cioè che una teoria è valida solo se riesce a migliorare la vita dell'uomo, se cioè è in grado di orientare le azioni degli uomini in modo da risolvere i problemi che essi incontrano nella loro esperienza. Le idee di questi pensatori vengono definite </w:t>
      </w:r>
      <w:r w:rsidRPr="0077274F">
        <w:rPr>
          <w:rFonts w:ascii="Times New Roman" w:hAnsi="Times New Roman" w:cs="Times New Roman"/>
          <w:b/>
          <w:bCs/>
          <w:color w:val="000000"/>
        </w:rPr>
        <w:t>pragmatismo</w:t>
      </w:r>
      <w:r w:rsidRPr="0077274F">
        <w:rPr>
          <w:rFonts w:ascii="Times New Roman" w:hAnsi="Times New Roman" w:cs="Times New Roman"/>
          <w:color w:val="000000"/>
        </w:rPr>
        <w:t xml:space="preserve">, dal greco </w:t>
      </w:r>
      <w:proofErr w:type="spellStart"/>
      <w:r w:rsidRPr="0077274F">
        <w:rPr>
          <w:rFonts w:ascii="Times New Roman" w:hAnsi="Times New Roman" w:cs="Times New Roman"/>
          <w:i/>
          <w:iCs/>
          <w:color w:val="000000"/>
        </w:rPr>
        <w:t>pragma</w:t>
      </w:r>
      <w:proofErr w:type="spellEnd"/>
      <w:r w:rsidRPr="0077274F">
        <w:rPr>
          <w:rFonts w:ascii="Times New Roman" w:hAnsi="Times New Roman" w:cs="Times New Roman"/>
          <w:color w:val="000000"/>
        </w:rPr>
        <w:t xml:space="preserve"> che significa ‘azione’. Per quanto riguarda i comportamenti e le scelte che ogni uomo quotidianamente affronta, il criterio di riferimento è quindi il seguente:  se si deve scegliere tra due azioni da compiere, non ci si dovrà basare  su principi morali astratti  (che cosa è bene fare? che cosa è giusto?) ma si dovrà solo valutare quale delle due azioni è concretamente più efficace. Una teoria quindi è riconosciuta corretta se risolve concretamente un problema,  realizzando il massimo vantaggio (economico, psico-sociale) per il massimo delle persone (</w:t>
      </w:r>
      <w:r w:rsidRPr="0077274F">
        <w:rPr>
          <w:rFonts w:ascii="Times New Roman" w:hAnsi="Times New Roman" w:cs="Times New Roman"/>
          <w:b/>
          <w:color w:val="000000"/>
        </w:rPr>
        <w:t>utilitarismo</w:t>
      </w:r>
      <w:r w:rsidRPr="0077274F">
        <w:rPr>
          <w:rFonts w:ascii="Times New Roman" w:hAnsi="Times New Roman" w:cs="Times New Roman"/>
          <w:color w:val="000000"/>
        </w:rPr>
        <w:t>). Anche l'uomo che dovesse eventualmente porsi il problema di aderire o meno ad una determinata credenza religiosa, dovrà chiedersi: “Questa religione mi garantisce una vita soddisfacente? Solo in tal caso è vera, almeno per me”.</w:t>
      </w:r>
    </w:p>
    <w:p w:rsidR="0077274F" w:rsidRPr="0077274F" w:rsidRDefault="0077274F" w:rsidP="0077274F">
      <w:pPr>
        <w:ind w:firstLine="709"/>
        <w:jc w:val="both"/>
        <w:rPr>
          <w:rFonts w:ascii="Times New Roman" w:hAnsi="Times New Roman" w:cs="Times New Roman"/>
        </w:rPr>
      </w:pPr>
      <w:r w:rsidRPr="0077274F">
        <w:rPr>
          <w:rFonts w:ascii="Times New Roman" w:hAnsi="Times New Roman" w:cs="Times New Roman"/>
          <w:color w:val="000000"/>
        </w:rPr>
        <w:t xml:space="preserve">Ma in un pensatore formatosi nel positivismo, nel nichilismo descritto da </w:t>
      </w:r>
      <w:proofErr w:type="spellStart"/>
      <w:r w:rsidRPr="0077274F">
        <w:rPr>
          <w:rFonts w:ascii="Times New Roman" w:hAnsi="Times New Roman" w:cs="Times New Roman"/>
          <w:color w:val="000000"/>
        </w:rPr>
        <w:t>Turgheniev</w:t>
      </w:r>
      <w:proofErr w:type="spellEnd"/>
      <w:r w:rsidRPr="0077274F">
        <w:rPr>
          <w:rFonts w:ascii="Times New Roman" w:hAnsi="Times New Roman" w:cs="Times New Roman"/>
          <w:color w:val="000000"/>
        </w:rPr>
        <w:t xml:space="preserve"> in “Padri e figli” (v. puntata precedente) come </w:t>
      </w:r>
      <w:r w:rsidRPr="0077274F">
        <w:rPr>
          <w:rFonts w:ascii="Times New Roman" w:hAnsi="Times New Roman" w:cs="Times New Roman"/>
          <w:b/>
          <w:bCs/>
          <w:color w:val="000000"/>
        </w:rPr>
        <w:t xml:space="preserve">Vladimir </w:t>
      </w:r>
      <w:proofErr w:type="spellStart"/>
      <w:r w:rsidRPr="0077274F">
        <w:rPr>
          <w:rFonts w:ascii="Times New Roman" w:hAnsi="Times New Roman" w:cs="Times New Roman"/>
          <w:b/>
          <w:bCs/>
          <w:color w:val="000000"/>
        </w:rPr>
        <w:t>Soloviev</w:t>
      </w:r>
      <w:proofErr w:type="spellEnd"/>
      <w:r w:rsidRPr="0077274F">
        <w:rPr>
          <w:rFonts w:ascii="Times New Roman" w:hAnsi="Times New Roman" w:cs="Times New Roman"/>
          <w:color w:val="000000"/>
        </w:rPr>
        <w:t xml:space="preserve"> constatiamo -ed è un esempio tra tanti- il momento di fallimento delle idee scientiste. Nel </w:t>
      </w:r>
      <w:r w:rsidRPr="0077274F">
        <w:rPr>
          <w:rFonts w:ascii="Times New Roman" w:hAnsi="Times New Roman" w:cs="Times New Roman"/>
          <w:i/>
          <w:color w:val="000000"/>
        </w:rPr>
        <w:t>Breve racconto dell’Anticristo</w:t>
      </w:r>
      <w:r w:rsidRPr="0077274F">
        <w:rPr>
          <w:rFonts w:ascii="Times New Roman" w:hAnsi="Times New Roman" w:cs="Times New Roman"/>
          <w:color w:val="000000"/>
        </w:rPr>
        <w:t xml:space="preserve"> (1901) egli infatti denuncia “</w:t>
      </w:r>
      <w:r w:rsidRPr="0077274F">
        <w:rPr>
          <w:rFonts w:ascii="Times New Roman" w:hAnsi="Times New Roman" w:cs="Times New Roman"/>
          <w:b/>
          <w:i/>
          <w:iCs/>
          <w:color w:val="000000"/>
        </w:rPr>
        <w:t>il completo fallimento del materialismo</w:t>
      </w:r>
      <w:r w:rsidRPr="0077274F">
        <w:rPr>
          <w:rFonts w:ascii="Times New Roman" w:hAnsi="Times New Roman" w:cs="Times New Roman"/>
          <w:i/>
          <w:iCs/>
          <w:color w:val="000000"/>
        </w:rPr>
        <w:t xml:space="preserve"> teoretico. La concezione dell’universo come un sistema di atomi danzanti e la spiegazione della vita come risultato di una accumulazione meccanica di minimi cambiamenti della materia: tutto ciò non può soddisfare alcun essere pensante. (...) Ma è chiaro d’altro canto che l’umanità ha pure superato quella facoltà fanciullesca della fede ingenua e non ragionata (...). I pochi credenti diventano per necessità tutti pensatori, secondo la prescrizione dell’Apostolo Paolo: “«Siate fanciulli nel cuore, ma non nella mente»</w:t>
      </w:r>
      <w:r w:rsidRPr="0077274F">
        <w:rPr>
          <w:rFonts w:ascii="Times New Roman" w:hAnsi="Times New Roman" w:cs="Times New Roman"/>
          <w:color w:val="000000"/>
        </w:rPr>
        <w:t xml:space="preserve"> (</w:t>
      </w:r>
      <w:bookmarkStart w:id="0" w:name="_GoBack"/>
      <w:r w:rsidRPr="0077274F">
        <w:rPr>
          <w:rFonts w:ascii="Times New Roman" w:hAnsi="Times New Roman" w:cs="Times New Roman"/>
          <w:i/>
          <w:color w:val="000000"/>
        </w:rPr>
        <w:t xml:space="preserve">I </w:t>
      </w:r>
      <w:proofErr w:type="spellStart"/>
      <w:r w:rsidRPr="0077274F">
        <w:rPr>
          <w:rFonts w:ascii="Times New Roman" w:hAnsi="Times New Roman" w:cs="Times New Roman"/>
          <w:i/>
          <w:color w:val="000000"/>
        </w:rPr>
        <w:t>Cor</w:t>
      </w:r>
      <w:bookmarkEnd w:id="0"/>
      <w:proofErr w:type="spellEnd"/>
      <w:r w:rsidRPr="0077274F">
        <w:rPr>
          <w:rFonts w:ascii="Times New Roman" w:hAnsi="Times New Roman" w:cs="Times New Roman"/>
          <w:color w:val="000000"/>
        </w:rPr>
        <w:t xml:space="preserve"> 14,20)” (tr. </w:t>
      </w:r>
      <w:proofErr w:type="spellStart"/>
      <w:r w:rsidRPr="0077274F">
        <w:rPr>
          <w:rFonts w:ascii="Times New Roman" w:hAnsi="Times New Roman" w:cs="Times New Roman"/>
          <w:color w:val="000000"/>
        </w:rPr>
        <w:t>it</w:t>
      </w:r>
      <w:proofErr w:type="spellEnd"/>
      <w:r w:rsidRPr="0077274F">
        <w:rPr>
          <w:rFonts w:ascii="Times New Roman" w:hAnsi="Times New Roman" w:cs="Times New Roman"/>
          <w:color w:val="000000"/>
        </w:rPr>
        <w:t xml:space="preserve">. di G. </w:t>
      </w:r>
      <w:proofErr w:type="spellStart"/>
      <w:r w:rsidRPr="0077274F">
        <w:rPr>
          <w:rFonts w:ascii="Times New Roman" w:hAnsi="Times New Roman" w:cs="Times New Roman"/>
          <w:color w:val="000000"/>
        </w:rPr>
        <w:t>Faccioli</w:t>
      </w:r>
      <w:proofErr w:type="spellEnd"/>
      <w:r w:rsidRPr="0077274F">
        <w:rPr>
          <w:rFonts w:ascii="Times New Roman" w:hAnsi="Times New Roman" w:cs="Times New Roman"/>
          <w:color w:val="000000"/>
        </w:rPr>
        <w:t xml:space="preserve">, 1975). </w:t>
      </w:r>
    </w:p>
    <w:p w:rsidR="0077274F" w:rsidRPr="0077274F" w:rsidRDefault="0077274F" w:rsidP="0077274F">
      <w:pPr>
        <w:ind w:firstLine="709"/>
        <w:jc w:val="both"/>
        <w:rPr>
          <w:rFonts w:ascii="Times New Roman" w:hAnsi="Times New Roman" w:cs="Times New Roman"/>
          <w:color w:val="000000"/>
        </w:rPr>
      </w:pPr>
    </w:p>
    <w:p w:rsidR="0077274F" w:rsidRPr="0077274F" w:rsidRDefault="0077274F" w:rsidP="0077274F">
      <w:pPr>
        <w:ind w:firstLine="709"/>
        <w:jc w:val="both"/>
        <w:rPr>
          <w:rFonts w:ascii="Times New Roman" w:hAnsi="Times New Roman" w:cs="Times New Roman"/>
          <w:color w:val="000000"/>
        </w:rPr>
      </w:pPr>
    </w:p>
    <w:p w:rsidR="0077274F" w:rsidRPr="0077274F" w:rsidRDefault="0077274F" w:rsidP="0077274F">
      <w:pPr>
        <w:ind w:firstLine="709"/>
        <w:jc w:val="both"/>
        <w:rPr>
          <w:rFonts w:ascii="Times New Roman" w:hAnsi="Times New Roman" w:cs="Times New Roman"/>
        </w:rPr>
      </w:pPr>
      <w:r w:rsidRPr="0077274F">
        <w:rPr>
          <w:rFonts w:ascii="Times New Roman" w:hAnsi="Times New Roman" w:cs="Times New Roman"/>
          <w:color w:val="000000"/>
        </w:rPr>
        <w:tab/>
      </w:r>
      <w:r w:rsidRPr="0077274F">
        <w:rPr>
          <w:rFonts w:ascii="Times New Roman" w:hAnsi="Times New Roman" w:cs="Times New Roman"/>
          <w:color w:val="000000"/>
        </w:rPr>
        <w:tab/>
      </w:r>
      <w:r w:rsidRPr="0077274F">
        <w:rPr>
          <w:rFonts w:ascii="Times New Roman" w:hAnsi="Times New Roman" w:cs="Times New Roman"/>
          <w:color w:val="000000"/>
        </w:rPr>
        <w:tab/>
      </w:r>
      <w:r w:rsidRPr="0077274F">
        <w:rPr>
          <w:rFonts w:ascii="Times New Roman" w:hAnsi="Times New Roman" w:cs="Times New Roman"/>
          <w:color w:val="000000"/>
        </w:rPr>
        <w:tab/>
      </w:r>
      <w:r w:rsidRPr="0077274F">
        <w:rPr>
          <w:rFonts w:ascii="Times New Roman" w:hAnsi="Times New Roman" w:cs="Times New Roman"/>
          <w:color w:val="000000"/>
        </w:rPr>
        <w:tab/>
      </w:r>
      <w:r w:rsidRPr="0077274F">
        <w:rPr>
          <w:rFonts w:ascii="Times New Roman" w:hAnsi="Times New Roman" w:cs="Times New Roman"/>
          <w:color w:val="000000"/>
        </w:rPr>
        <w:tab/>
        <w:t>A cura di Antonio e Antonella</w:t>
      </w:r>
    </w:p>
    <w:p w:rsidR="00B31E01" w:rsidRPr="0077274F" w:rsidRDefault="00B31E01">
      <w:pPr>
        <w:rPr>
          <w:rFonts w:ascii="Times New Roman" w:hAnsi="Times New Roman" w:cs="Times New Roman"/>
        </w:rPr>
      </w:pPr>
    </w:p>
    <w:sectPr w:rsidR="00B31E01" w:rsidRPr="0077274F" w:rsidSect="003007D6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7274F"/>
    <w:rsid w:val="003A05ED"/>
    <w:rsid w:val="0077274F"/>
    <w:rsid w:val="00B3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274F"/>
    <w:pPr>
      <w:spacing w:after="0" w:line="240" w:lineRule="auto"/>
    </w:pPr>
    <w:rPr>
      <w:rFonts w:ascii="Liberation Serif" w:eastAsia="SimSun" w:hAnsi="Liberation Serif" w:cs="Lucida Sans"/>
      <w:color w:val="00000A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2018-03-01T16:12:00Z</cp:lastPrinted>
  <dcterms:created xsi:type="dcterms:W3CDTF">2018-03-01T15:48:00Z</dcterms:created>
  <dcterms:modified xsi:type="dcterms:W3CDTF">2018-03-01T16:12:00Z</dcterms:modified>
</cp:coreProperties>
</file>